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ind w:firstLine="5896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9645" w:type="dxa"/>
        <w:jc w:val="left"/>
        <w:tblInd w:w="0" w:type="dxa"/>
        <w:tblLayout w:type="fixed"/>
        <w:tblCellMar>
          <w:top w:w="55" w:type="dxa"/>
          <w:left w:w="30" w:type="dxa"/>
          <w:bottom w:w="55" w:type="dxa"/>
          <w:right w:w="55" w:type="dxa"/>
        </w:tblCellMar>
        <w:tblLook w:val="04a0"/>
      </w:tblPr>
      <w:tblGrid>
        <w:gridCol w:w="3403"/>
        <w:gridCol w:w="6241"/>
      </w:tblGrid>
      <w:tr>
        <w:trPr>
          <w:trHeight w:val="1170" w:hRule="atLeast"/>
        </w:trPr>
        <w:tc>
          <w:tcPr>
            <w:tcW w:w="964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  <w:p>
            <w:pPr>
              <w:pStyle w:val="Zawartotabeli"/>
              <w:widowControl w:val="false"/>
              <w:rPr/>
            </w:pPr>
            <w:r>
              <w:rPr>
                <w:b/>
                <w:bCs/>
                <w:color w:val="000000"/>
              </w:rPr>
              <w:t xml:space="preserve">STAROSTWO POWIATOWE W SIERPCU , 09-200 SIERPC UL. ŚWIĘTOKRZYSKA 2A,       TEL. 24/ 275 91 01,  Fax 24/275 91 00       e- mail: </w:t>
            </w:r>
            <w:hyperlink r:id="rId2">
              <w:r>
                <w:rPr>
                  <w:rStyle w:val="Czeinternetowe"/>
                  <w:b/>
                  <w:bCs/>
                  <w:color w:val="000000"/>
                  <w:u w:val="none"/>
                </w:rPr>
                <w:t>starosta@powiat.sierpc.pl</w:t>
              </w:r>
            </w:hyperlink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</w:tr>
      <w:tr>
        <w:trPr/>
        <w:tc>
          <w:tcPr>
            <w:tcW w:w="964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ind w:firstLine="3969"/>
              <w:rPr/>
            </w:pPr>
            <w:r>
              <w:rPr>
                <w:b/>
                <w:bCs/>
                <w:color w:val="000000"/>
              </w:rPr>
              <w:t>KARTA USŁUGI                              Nr karty KT 26</w:t>
            </w:r>
          </w:p>
        </w:tc>
      </w:tr>
      <w:tr>
        <w:trPr/>
        <w:tc>
          <w:tcPr>
            <w:tcW w:w="964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agwek1"/>
              <w:widowControl w:val="false"/>
              <w:numPr>
                <w:ilvl w:val="0"/>
                <w:numId w:val="2"/>
              </w:numPr>
              <w:rPr/>
            </w:pPr>
            <w:r>
              <w:rPr/>
              <w:t>WYMIANA ZAGRANICZNEGO  PRAWA JAZDY NA DOKUMENT POLSKI</w:t>
            </w:r>
          </w:p>
        </w:tc>
      </w:tr>
      <w:tr>
        <w:trPr>
          <w:trHeight w:val="2955" w:hRule="atLeast"/>
        </w:trPr>
        <w:tc>
          <w:tcPr>
            <w:tcW w:w="34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Podstawa prawna</w:t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62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Wcicietrecitekstu"/>
              <w:widowControl w:val="false"/>
              <w:ind w:left="720" w:hanging="0"/>
              <w:jc w:val="both"/>
              <w:rPr>
                <w:b w:val="false"/>
                <w:b w:val="false"/>
                <w:sz w:val="24"/>
                <w:szCs w:val="24"/>
              </w:rPr>
            </w:pPr>
            <w:r>
              <w:rPr>
                <w:b w:val="false"/>
                <w:sz w:val="24"/>
                <w:szCs w:val="24"/>
              </w:rPr>
              <w:t>- Ustawa z dnia 5 stycznia 2011r. o kierujących pojazdami (Dz. U. z  2020 roku poz. 1268 z późn. zm.)</w:t>
            </w:r>
          </w:p>
          <w:p>
            <w:pPr>
              <w:pStyle w:val="Wcicietrecitekstu"/>
              <w:widowControl w:val="false"/>
              <w:ind w:left="720" w:hanging="0"/>
              <w:jc w:val="both"/>
              <w:rPr>
                <w:b w:val="false"/>
                <w:b w:val="false"/>
                <w:sz w:val="24"/>
                <w:szCs w:val="24"/>
              </w:rPr>
            </w:pPr>
            <w:r>
              <w:rPr>
                <w:b w:val="false"/>
                <w:sz w:val="24"/>
                <w:szCs w:val="24"/>
              </w:rPr>
              <w:t>- Rozporządzenie Ministra Transportu, Budownictwa i Gospodarki Morskiej z dnia  20.05.2016 r (Dz. U. z 2016 r. poz. 702) w sprawie wzorów dokumentów stwierdzających uprawnienia do kierowania pojazdami.</w:t>
            </w:r>
          </w:p>
          <w:p>
            <w:pPr>
              <w:pStyle w:val="Wcicietrecitekstu"/>
              <w:widowControl w:val="false"/>
              <w:ind w:left="720" w:hanging="0"/>
              <w:jc w:val="both"/>
              <w:rPr>
                <w:b w:val="false"/>
                <w:b w:val="false"/>
                <w:sz w:val="24"/>
                <w:szCs w:val="24"/>
              </w:rPr>
            </w:pPr>
            <w:r>
              <w:rPr>
                <w:b w:val="false"/>
                <w:sz w:val="24"/>
                <w:szCs w:val="24"/>
              </w:rPr>
              <w:t>- Rozporządzenie Ministra Infrastruktury i Budownictwa z dnia 24.02. 2016r. (Dz. U.  poz. 231 z  2016r.) w sprawie wydawania dokumentów stwierdzających uprawnienia do kierowania pojazdami.</w:t>
            </w:r>
          </w:p>
        </w:tc>
      </w:tr>
      <w:tr>
        <w:trPr>
          <w:trHeight w:val="1578" w:hRule="atLeast"/>
        </w:trPr>
        <w:tc>
          <w:tcPr>
            <w:tcW w:w="34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Wymagane dokumenty:</w:t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  <w:p>
            <w:pPr>
              <w:pStyle w:val="Zawartotabeli"/>
              <w:widowControl w:val="false"/>
              <w:rPr/>
            </w:pPr>
            <w:r>
              <w:rPr/>
            </w:r>
          </w:p>
        </w:tc>
        <w:tc>
          <w:tcPr>
            <w:tcW w:w="62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Wcicietrecitekstu"/>
              <w:widowControl w:val="false"/>
              <w:ind w:left="0" w:right="12" w:hanging="0"/>
              <w:jc w:val="both"/>
              <w:rPr>
                <w:b w:val="false"/>
                <w:b w:val="false"/>
                <w:sz w:val="24"/>
                <w:szCs w:val="24"/>
              </w:rPr>
            </w:pPr>
            <w:r>
              <w:rPr>
                <w:b w:val="false"/>
                <w:sz w:val="24"/>
                <w:szCs w:val="24"/>
              </w:rPr>
              <w:t>Do wniosku o wymianę prawa jazdy należy dołączyć:</w:t>
            </w:r>
          </w:p>
          <w:p>
            <w:pPr>
              <w:pStyle w:val="Wcicietrecitekstu"/>
              <w:widowControl w:val="false"/>
              <w:numPr>
                <w:ilvl w:val="0"/>
                <w:numId w:val="3"/>
              </w:numPr>
              <w:ind w:left="792" w:right="12" w:hanging="360"/>
              <w:jc w:val="both"/>
              <w:rPr/>
            </w:pPr>
            <w:r>
              <w:rPr>
                <w:b w:val="false"/>
                <w:sz w:val="24"/>
                <w:szCs w:val="24"/>
              </w:rPr>
              <w:t>wyraźną i aktualną fotografię (na wprost) o wymiarach 3,5 x 4,5 cm, nie starsze niż pół roku;</w:t>
            </w:r>
          </w:p>
          <w:p>
            <w:pPr>
              <w:pStyle w:val="Wcicietrecitekstu"/>
              <w:widowControl w:val="false"/>
              <w:numPr>
                <w:ilvl w:val="0"/>
                <w:numId w:val="3"/>
              </w:numPr>
              <w:ind w:left="792" w:right="12" w:hanging="360"/>
              <w:jc w:val="both"/>
              <w:rPr>
                <w:b w:val="false"/>
                <w:b w:val="false"/>
                <w:sz w:val="24"/>
                <w:szCs w:val="24"/>
              </w:rPr>
            </w:pPr>
            <w:r>
              <w:rPr>
                <w:b w:val="false"/>
                <w:sz w:val="24"/>
                <w:szCs w:val="24"/>
              </w:rPr>
              <w:t>dowód osobisty (w przypadku braku dowodu osobistego może być paszport) ;</w:t>
            </w:r>
          </w:p>
          <w:p>
            <w:pPr>
              <w:pStyle w:val="Wcicietrecitekstu"/>
              <w:widowControl w:val="false"/>
              <w:numPr>
                <w:ilvl w:val="0"/>
                <w:numId w:val="3"/>
              </w:numPr>
              <w:ind w:left="792" w:right="12" w:hanging="360"/>
              <w:jc w:val="both"/>
              <w:rPr/>
            </w:pPr>
            <w:r>
              <w:rPr>
                <w:b w:val="false"/>
                <w:sz w:val="24"/>
                <w:szCs w:val="24"/>
              </w:rPr>
              <w:t xml:space="preserve">kserokopię prawa jazdy </w:t>
            </w:r>
            <w:r>
              <w:rPr>
                <w:b w:val="false"/>
                <w:sz w:val="24"/>
                <w:szCs w:val="24"/>
              </w:rPr>
              <w:t xml:space="preserve">wraz z </w:t>
            </w:r>
            <w:r>
              <w:rPr>
                <w:b w:val="false"/>
                <w:sz w:val="24"/>
                <w:szCs w:val="24"/>
              </w:rPr>
              <w:t>tłumaczenie</w:t>
            </w:r>
            <w:r>
              <w:rPr>
                <w:b w:val="false"/>
                <w:sz w:val="24"/>
                <w:szCs w:val="24"/>
              </w:rPr>
              <w:t>m</w:t>
            </w:r>
            <w:r>
              <w:rPr>
                <w:b w:val="false"/>
                <w:sz w:val="24"/>
                <w:szCs w:val="24"/>
              </w:rPr>
              <w:t xml:space="preserve"> przez tłumacza przysięgłego. </w:t>
            </w:r>
            <w:r>
              <w:rPr>
                <w:b w:val="false"/>
                <w:sz w:val="24"/>
                <w:szCs w:val="24"/>
              </w:rPr>
              <w:t>(Tłumaczenie</w:t>
            </w:r>
            <w:r>
              <w:rPr>
                <w:b w:val="false"/>
                <w:sz w:val="24"/>
                <w:szCs w:val="24"/>
              </w:rPr>
              <w:t xml:space="preserve"> nie dotyczy krajowego prawa jazdy wydanego w państwie członkowskim Unii Europejskiej, Konfederacji Szwajcarskiej lub państwie członkowskim Europejskiego Porozumienia o Wolnym Handlu (EFTA) - stronie </w:t>
            </w:r>
            <w:r>
              <w:fldChar w:fldCharType="begin"/>
            </w:r>
            <w:r>
              <w:rPr>
                <w:rStyle w:val="Czeinternetowe"/>
                <w:sz w:val="24"/>
                <w:u w:val="none"/>
                <w:b w:val="false"/>
                <w:szCs w:val="24"/>
                <w:color w:val="00000A"/>
              </w:rPr>
              <w:instrText xml:space="preserve"> HYPERLINK "https://sip.lex.pl/" \l "/document/67435948?cm=DOCUMENT"</w:instrText>
            </w:r>
            <w:r>
              <w:rPr>
                <w:rStyle w:val="Czeinternetowe"/>
                <w:sz w:val="24"/>
                <w:u w:val="none"/>
                <w:b w:val="false"/>
                <w:szCs w:val="24"/>
                <w:color w:val="00000A"/>
              </w:rPr>
              <w:fldChar w:fldCharType="separate"/>
            </w:r>
            <w:r>
              <w:rPr>
                <w:rStyle w:val="Czeinternetowe"/>
                <w:b w:val="false"/>
                <w:color w:val="00000A"/>
                <w:sz w:val="24"/>
                <w:szCs w:val="24"/>
                <w:u w:val="none"/>
              </w:rPr>
              <w:t>umowy</w:t>
            </w:r>
            <w:r>
              <w:rPr>
                <w:rStyle w:val="Czeinternetowe"/>
                <w:sz w:val="24"/>
                <w:u w:val="none"/>
                <w:b w:val="false"/>
                <w:szCs w:val="24"/>
                <w:color w:val="00000A"/>
              </w:rPr>
              <w:fldChar w:fldCharType="end"/>
            </w:r>
            <w:r>
              <w:rPr>
                <w:rStyle w:val="Czeinternetowe"/>
                <w:b w:val="false"/>
                <w:color w:val="00000A"/>
                <w:sz w:val="24"/>
                <w:szCs w:val="24"/>
                <w:u w:val="none"/>
              </w:rPr>
              <w:t xml:space="preserve"> </w:t>
            </w:r>
            <w:r>
              <w:rPr>
                <w:b w:val="false"/>
                <w:sz w:val="24"/>
                <w:szCs w:val="24"/>
              </w:rPr>
              <w:t>o Europejskim Obszarze Gospodarczym</w:t>
            </w:r>
            <w:r>
              <w:rPr>
                <w:b w:val="false"/>
                <w:sz w:val="24"/>
                <w:szCs w:val="24"/>
              </w:rPr>
              <w:t>)</w:t>
            </w:r>
            <w:r>
              <w:rPr>
                <w:b w:val="false"/>
                <w:sz w:val="24"/>
                <w:szCs w:val="24"/>
              </w:rPr>
              <w:t>;</w:t>
            </w:r>
          </w:p>
          <w:p>
            <w:pPr>
              <w:pStyle w:val="Wcicietrecitekstu"/>
              <w:widowControl w:val="false"/>
              <w:numPr>
                <w:ilvl w:val="0"/>
                <w:numId w:val="3"/>
              </w:numPr>
              <w:ind w:left="792" w:right="12" w:hanging="360"/>
              <w:jc w:val="both"/>
              <w:rPr>
                <w:b w:val="false"/>
                <w:b w:val="false"/>
                <w:sz w:val="24"/>
                <w:szCs w:val="24"/>
              </w:rPr>
            </w:pPr>
            <w:r>
              <w:rPr>
                <w:b w:val="false"/>
                <w:sz w:val="24"/>
                <w:szCs w:val="24"/>
              </w:rPr>
              <w:t>dowód uiszczenia opłaty;</w:t>
            </w:r>
          </w:p>
          <w:p>
            <w:pPr>
              <w:pStyle w:val="Wcicietrecitekstu"/>
              <w:widowControl w:val="false"/>
              <w:numPr>
                <w:ilvl w:val="0"/>
                <w:numId w:val="3"/>
              </w:numPr>
              <w:ind w:left="792" w:right="12" w:hanging="360"/>
              <w:jc w:val="both"/>
              <w:rPr/>
            </w:pPr>
            <w:r>
              <w:rPr>
                <w:b w:val="false"/>
                <w:sz w:val="24"/>
                <w:szCs w:val="24"/>
              </w:rPr>
              <w:t xml:space="preserve">Karta pobytu(dla obcokrajowców) </w:t>
            </w:r>
            <w:r>
              <w:rPr>
                <w:b w:val="false"/>
                <w:sz w:val="24"/>
                <w:szCs w:val="24"/>
              </w:rPr>
              <w:t>lub inny dokument potwierdzający legalność pobytu w Polsce</w:t>
            </w:r>
            <w:r>
              <w:rPr>
                <w:b w:val="false"/>
                <w:sz w:val="24"/>
                <w:szCs w:val="24"/>
              </w:rPr>
              <w:t>;</w:t>
            </w:r>
          </w:p>
          <w:p>
            <w:pPr>
              <w:pStyle w:val="Wcicietrecitekstu"/>
              <w:widowControl w:val="false"/>
              <w:numPr>
                <w:ilvl w:val="0"/>
                <w:numId w:val="3"/>
              </w:numPr>
              <w:ind w:left="792" w:right="12" w:hanging="360"/>
              <w:jc w:val="both"/>
              <w:rPr>
                <w:b w:val="false"/>
                <w:b w:val="false"/>
                <w:color w:val="000000"/>
                <w:sz w:val="24"/>
                <w:szCs w:val="24"/>
              </w:rPr>
            </w:pPr>
            <w:r>
              <w:rPr>
                <w:b w:val="false"/>
                <w:color w:val="000000"/>
                <w:sz w:val="24"/>
                <w:szCs w:val="24"/>
              </w:rPr>
              <w:t xml:space="preserve">Potwierdzenie zameldowania(dla obcokrajowców);  </w:t>
            </w:r>
          </w:p>
        </w:tc>
      </w:tr>
      <w:tr>
        <w:trPr/>
        <w:tc>
          <w:tcPr>
            <w:tcW w:w="34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Opłaty:</w:t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62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Wcicietrecitekstu"/>
              <w:widowControl w:val="false"/>
              <w:ind w:left="0" w:hanging="0"/>
              <w:jc w:val="both"/>
              <w:rPr>
                <w:b w:val="false"/>
                <w:b w:val="false"/>
                <w:color w:val="000000"/>
                <w:sz w:val="24"/>
                <w:szCs w:val="24"/>
              </w:rPr>
            </w:pPr>
            <w:r>
              <w:rPr>
                <w:b w:val="false"/>
                <w:color w:val="000000"/>
                <w:sz w:val="24"/>
                <w:szCs w:val="24"/>
              </w:rPr>
              <w:t xml:space="preserve">Opłata – 100 zł wnoszona jest w kasie Starostwa Powiatowego parter lub na konto Starostwa Powiatowego  </w:t>
            </w:r>
          </w:p>
        </w:tc>
      </w:tr>
      <w:tr>
        <w:trPr/>
        <w:tc>
          <w:tcPr>
            <w:tcW w:w="34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Miejsce załatwiania sprawy:</w:t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62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rPr/>
            </w:pPr>
            <w:r>
              <w:rPr>
                <w:rFonts w:ascii="Liberation Serif" w:hAnsi="Liberation Serif"/>
                <w:color w:val="000000"/>
              </w:rPr>
              <w:t xml:space="preserve">Wydział Komunikacji i Transportu Starostwa Powiatowego w Sierpcu, ul. Kopernika 8 09-200 Sierpc, I piętro, pokój nr 1.11, okienko 1,2,3,  tel. 24 275 91 13  </w:t>
            </w:r>
          </w:p>
        </w:tc>
      </w:tr>
      <w:tr>
        <w:trPr/>
        <w:tc>
          <w:tcPr>
            <w:tcW w:w="34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Termin składania dokumentów:</w:t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62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color w:val="000000"/>
              </w:rPr>
            </w:pPr>
            <w:r>
              <w:rPr>
                <w:color w:val="000000"/>
              </w:rPr>
              <w:t>Wg potrzeb</w:t>
            </w:r>
          </w:p>
        </w:tc>
      </w:tr>
      <w:tr>
        <w:trPr/>
        <w:tc>
          <w:tcPr>
            <w:tcW w:w="34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Termin rozpatrzenia sprawy:</w:t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62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Wcicietrecitekstu"/>
              <w:widowControl w:val="false"/>
              <w:ind w:left="0" w:hanging="0"/>
              <w:jc w:val="both"/>
              <w:rPr>
                <w:b w:val="false"/>
                <w:b w:val="false"/>
                <w:sz w:val="24"/>
                <w:szCs w:val="24"/>
              </w:rPr>
            </w:pPr>
            <w:r>
              <w:rPr>
                <w:b w:val="false"/>
                <w:sz w:val="24"/>
                <w:szCs w:val="24"/>
              </w:rPr>
              <w:t>Czas oczekiwania na wymianę zagranicznego prawa jazdy uzależnione jest od uzyskania potwierdzenia autentyczności przedstawionego dokumentu od właściwego organu, który go wydał.</w:t>
            </w:r>
          </w:p>
        </w:tc>
      </w:tr>
      <w:tr>
        <w:trPr/>
        <w:tc>
          <w:tcPr>
            <w:tcW w:w="34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Tryb odwoławczy:</w:t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62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/>
            </w:pPr>
            <w:r>
              <w:rPr>
                <w:color w:val="000000"/>
              </w:rPr>
              <w:t>W przypadku decyzji odmownej odwołanie wnosi się do Samorządowego Kolegium Odwoławczego w Płocku w terminie 14 dni od daty otrzymania decyzji, za pośrednictwem Starosty Sierpeckiego</w:t>
            </w:r>
          </w:p>
        </w:tc>
      </w:tr>
      <w:tr>
        <w:trPr/>
        <w:tc>
          <w:tcPr>
            <w:tcW w:w="34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Uwagi i dodatkowe informacje:</w:t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62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both"/>
              <w:rPr/>
            </w:pPr>
            <w:r>
              <w:rPr>
                <w:color w:val="000000"/>
              </w:rPr>
              <w:t xml:space="preserve">Odbioru prawa jazdy należy dokonywać osobiście, przedstawiając dokument potwierdzający tożsamość lub na podstawie udzielonego pełnomocnictwa. </w:t>
            </w:r>
          </w:p>
        </w:tc>
      </w:tr>
      <w:tr>
        <w:trPr/>
        <w:tc>
          <w:tcPr>
            <w:tcW w:w="34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Formularze wniosków i druki do pobrania:</w:t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62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WWTekstpodstawowy2"/>
              <w:widowControl w:val="false"/>
              <w:jc w:val="left"/>
              <w:rPr/>
            </w:pPr>
            <w:r>
              <w:rPr>
                <w:rFonts w:ascii="Liberation Serif" w:hAnsi="Liberation Serif"/>
                <w:color w:val="000000"/>
              </w:rPr>
              <w:t xml:space="preserve">Wydział Komunikacji i Transportu Starostwa Powiatowego w Sierpcu, ul. Kopernika 8 09-200 Sierpc, I piętro, pokój nr 1.11, okienko 1,2,3,  </w:t>
            </w:r>
            <w:r>
              <w:rPr>
                <w:color w:val="000000"/>
              </w:rPr>
              <w:t>lub pobrać ze strony internetowej.</w:t>
            </w:r>
          </w:p>
        </w:tc>
      </w:tr>
      <w:tr>
        <w:trPr/>
        <w:tc>
          <w:tcPr>
            <w:tcW w:w="34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Godziny otwarcia urzędu:</w:t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62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color w:val="000000"/>
              </w:rPr>
            </w:pPr>
            <w:r>
              <w:rPr>
                <w:color w:val="000000"/>
              </w:rPr>
              <w:t>7.30 - 15.30</w:t>
            </w:r>
          </w:p>
        </w:tc>
      </w:tr>
      <w:tr>
        <w:trPr/>
        <w:tc>
          <w:tcPr>
            <w:tcW w:w="34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Godziny przyjęć interesantów:</w:t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62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color w:val="000000"/>
              </w:rPr>
            </w:pPr>
            <w:r>
              <w:rPr>
                <w:color w:val="000000"/>
              </w:rPr>
              <w:t>0</w:t>
            </w:r>
            <w:r>
              <w:rPr>
                <w:color w:val="000000"/>
              </w:rPr>
              <w:t>7</w:t>
            </w:r>
            <w:r>
              <w:rPr>
                <w:color w:val="000000"/>
              </w:rPr>
              <w:t>.</w:t>
            </w:r>
            <w:r>
              <w:rPr>
                <w:color w:val="000000"/>
              </w:rPr>
              <w:t>3</w:t>
            </w:r>
            <w:r>
              <w:rPr>
                <w:color w:val="000000"/>
              </w:rPr>
              <w:t>0 - 1</w:t>
            </w:r>
            <w:r>
              <w:rPr>
                <w:color w:val="000000"/>
              </w:rPr>
              <w:t>5</w:t>
            </w:r>
            <w:r>
              <w:rPr>
                <w:color w:val="000000"/>
              </w:rPr>
              <w:t>.00</w:t>
            </w:r>
          </w:p>
        </w:tc>
      </w:tr>
      <w:tr>
        <w:trPr/>
        <w:tc>
          <w:tcPr>
            <w:tcW w:w="34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Informacja o dokonywaniu opłat:</w:t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62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Wcicietrecitekstu"/>
              <w:widowControl w:val="false"/>
              <w:ind w:left="0" w:hanging="0"/>
              <w:jc w:val="both"/>
              <w:rPr/>
            </w:pPr>
            <w:r>
              <w:rPr>
                <w:b w:val="false"/>
                <w:color w:val="000000"/>
                <w:sz w:val="24"/>
                <w:szCs w:val="24"/>
              </w:rPr>
              <w:t>Opłata wnoszona jest w kasie Starostwa Powiatowego parter lub na konto Starostwa Powiatowego nr:</w:t>
            </w:r>
          </w:p>
          <w:p>
            <w:pPr>
              <w:pStyle w:val="Wcicietrecitekstu"/>
              <w:widowControl w:val="false"/>
              <w:ind w:left="0" w:hanging="0"/>
              <w:jc w:val="both"/>
              <w:rPr/>
            </w:pPr>
            <w:r>
              <w:rPr>
                <w:b w:val="false"/>
                <w:color w:val="000000"/>
                <w:sz w:val="24"/>
                <w:szCs w:val="24"/>
              </w:rPr>
              <w:t xml:space="preserve">21901500012005000007780003 </w:t>
            </w:r>
          </w:p>
        </w:tc>
      </w:tr>
    </w:tbl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/>
      </w:pPr>
      <w:r>
        <w:rPr>
          <w:sz w:val="22"/>
          <w:szCs w:val="22"/>
        </w:rPr>
        <w:t>Inspektor Artur Balcerowski</w:t>
        <w:tab/>
        <w:t xml:space="preserve">        Naczelnika Wydziału Komunikacji  </w:t>
        <w:tab/>
        <w:t>Sekretarz Ryszard Dobiesz</w:t>
      </w:r>
    </w:p>
    <w:p>
      <w:pPr>
        <w:pStyle w:val="Normal"/>
        <w:rPr/>
      </w:pPr>
      <w:r>
        <w:rPr>
          <w:sz w:val="22"/>
          <w:szCs w:val="22"/>
        </w:rPr>
        <w:tab/>
        <w:tab/>
        <w:tab/>
        <w:tab/>
        <w:t xml:space="preserve">         i Transportu Małgorzata Gruczyk</w:t>
      </w:r>
    </w:p>
    <w:p>
      <w:pPr>
        <w:pStyle w:val="Normal"/>
        <w:rPr/>
      </w:pPr>
      <w:r>
        <w:rPr>
          <w:sz w:val="22"/>
          <w:szCs w:val="22"/>
        </w:rPr>
        <w:t xml:space="preserve">Opracował/a         </w:t>
        <w:tab/>
        <w:tab/>
        <w:tab/>
        <w:tab/>
        <w:t xml:space="preserve"> Sprawdził/a</w:t>
        <w:tab/>
        <w:tab/>
        <w:tab/>
        <w:tab/>
        <w:t>Zatwierdził</w:t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Symbol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Arial">
    <w:charset w:val="ee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/>
    </w:lvl>
  </w:abstractNum>
  <w:abstractNum w:abstractNumId="3">
    <w:lvl w:ilvl="0">
      <w:start w:val="1"/>
      <w:numFmt w:val="bullet"/>
      <w:lvlText w:val="·"/>
      <w:lvlJc w:val="left"/>
      <w:pPr>
        <w:tabs>
          <w:tab w:val="num" w:pos="0"/>
        </w:tabs>
        <w:ind w:left="792" w:hanging="360"/>
      </w:pPr>
      <w:rPr>
        <w:rFonts w:ascii="Symbol" w:hAnsi="Symbol" w:cs="Symbol" w:hint="default"/>
        <w:sz w:val="24"/>
        <w:b w:val="fals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60"/>
  <w:defaultTabStop w:val="706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Andale Sans UI" w:cs="Tahoma"/>
        <w:kern w:val="2"/>
        <w:szCs w:val="24"/>
        <w:lang w:val="pl-PL" w:eastAsia="pl-PL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13047"/>
    <w:pPr>
      <w:widowControl w:val="false"/>
      <w:overflowPunct w:val="false"/>
      <w:bidi w:val="0"/>
      <w:spacing w:before="0" w:after="0"/>
      <w:jc w:val="left"/>
    </w:pPr>
    <w:rPr>
      <w:rFonts w:ascii="Times New Roman" w:hAnsi="Times New Roman" w:eastAsia="Andale Sans UI" w:cs="Tahoma"/>
      <w:color w:val="00000A"/>
      <w:kern w:val="2"/>
      <w:sz w:val="24"/>
      <w:szCs w:val="24"/>
      <w:lang w:val="pl-PL" w:eastAsia="pl-PL" w:bidi="ar-SA"/>
    </w:rPr>
  </w:style>
  <w:style w:type="paragraph" w:styleId="Nagwek1" w:customStyle="1">
    <w:name w:val="Heading 1"/>
    <w:basedOn w:val="Normal"/>
    <w:qFormat/>
    <w:rsid w:val="00413047"/>
    <w:pPr>
      <w:keepNext w:val="true"/>
      <w:numPr>
        <w:ilvl w:val="0"/>
        <w:numId w:val="1"/>
      </w:numPr>
      <w:jc w:val="center"/>
      <w:outlineLvl w:val="0"/>
    </w:pPr>
    <w:rPr>
      <w:b/>
      <w:bCs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zeinternetowe" w:customStyle="1">
    <w:name w:val="Hyperlink"/>
    <w:rsid w:val="00413047"/>
    <w:rPr>
      <w:color w:val="000080"/>
      <w:u w:val="single"/>
    </w:rPr>
  </w:style>
  <w:style w:type="character" w:styleId="WW8Num2z0" w:customStyle="1">
    <w:name w:val="WW8Num2z0"/>
    <w:qFormat/>
    <w:rsid w:val="00413047"/>
    <w:rPr>
      <w:rFonts w:ascii="Symbol" w:hAnsi="Symbol" w:cs="Symbol"/>
    </w:rPr>
  </w:style>
  <w:style w:type="character" w:styleId="WW8Num3z0" w:customStyle="1">
    <w:name w:val="WW8Num3z0"/>
    <w:qFormat/>
    <w:rsid w:val="00413047"/>
    <w:rPr>
      <w:rFonts w:ascii="Symbol" w:hAnsi="Symbol" w:cs="Symbol"/>
    </w:rPr>
  </w:style>
  <w:style w:type="character" w:styleId="WW8Num4z0" w:customStyle="1">
    <w:name w:val="WW8Num4z0"/>
    <w:qFormat/>
    <w:rsid w:val="00413047"/>
    <w:rPr>
      <w:rFonts w:ascii="Symbol" w:hAnsi="Symbol" w:cs="Symbol"/>
      <w:sz w:val="24"/>
      <w:szCs w:val="24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rsid w:val="00413047"/>
    <w:pPr>
      <w:spacing w:before="0" w:after="120"/>
    </w:pPr>
    <w:rPr/>
  </w:style>
  <w:style w:type="paragraph" w:styleId="Lista">
    <w:name w:val="List"/>
    <w:basedOn w:val="Tretekstu"/>
    <w:rsid w:val="00413047"/>
    <w:pPr/>
    <w:rPr/>
  </w:style>
  <w:style w:type="paragraph" w:styleId="Podpis" w:customStyle="1">
    <w:name w:val="Caption"/>
    <w:basedOn w:val="Normal"/>
    <w:qFormat/>
    <w:rsid w:val="00413047"/>
    <w:pPr>
      <w:suppressLineNumbers/>
      <w:spacing w:before="120" w:after="120"/>
    </w:pPr>
    <w:rPr>
      <w:i/>
      <w:iCs/>
    </w:rPr>
  </w:style>
  <w:style w:type="paragraph" w:styleId="Indeks" w:customStyle="1">
    <w:name w:val="Indeks"/>
    <w:basedOn w:val="Normal"/>
    <w:qFormat/>
    <w:rsid w:val="00413047"/>
    <w:pPr>
      <w:suppressLineNumbers/>
    </w:pPr>
    <w:rPr/>
  </w:style>
  <w:style w:type="paragraph" w:styleId="Gwkaistopka">
    <w:name w:val="Główka i stopka"/>
    <w:basedOn w:val="Normal"/>
    <w:qFormat/>
    <w:pPr/>
    <w:rPr/>
  </w:style>
  <w:style w:type="paragraph" w:styleId="Gwka">
    <w:name w:val="Header"/>
    <w:basedOn w:val="Normal"/>
    <w:qFormat/>
    <w:rsid w:val="00413047"/>
    <w:pPr>
      <w:keepNext w:val="true"/>
      <w:spacing w:before="240" w:after="120"/>
    </w:pPr>
    <w:rPr>
      <w:rFonts w:ascii="Arial" w:hAnsi="Arial"/>
      <w:sz w:val="28"/>
      <w:szCs w:val="28"/>
    </w:rPr>
  </w:style>
  <w:style w:type="paragraph" w:styleId="Zawartotabeli" w:customStyle="1">
    <w:name w:val="Zawartość tabeli"/>
    <w:basedOn w:val="Normal"/>
    <w:qFormat/>
    <w:rsid w:val="00413047"/>
    <w:pPr>
      <w:suppressLineNumbers/>
    </w:pPr>
    <w:rPr/>
  </w:style>
  <w:style w:type="paragraph" w:styleId="Wcicietrecitekstu">
    <w:name w:val="Body Text Indent"/>
    <w:basedOn w:val="Normal"/>
    <w:rsid w:val="00413047"/>
    <w:pPr>
      <w:suppressAutoHyphens w:val="true"/>
      <w:ind w:left="300" w:hanging="0"/>
    </w:pPr>
    <w:rPr>
      <w:b/>
      <w:sz w:val="28"/>
      <w:szCs w:val="20"/>
    </w:rPr>
  </w:style>
  <w:style w:type="paragraph" w:styleId="WWTekstpodstawowy2" w:customStyle="1">
    <w:name w:val="WW-Tekst podstawowy 2"/>
    <w:basedOn w:val="Normal"/>
    <w:qFormat/>
    <w:rsid w:val="00413047"/>
    <w:pPr>
      <w:jc w:val="both"/>
    </w:pPr>
    <w:rPr/>
  </w:style>
  <w:style w:type="numbering" w:styleId="NoList" w:default="1">
    <w:name w:val="No List"/>
    <w:uiPriority w:val="99"/>
    <w:semiHidden/>
    <w:unhideWhenUsed/>
    <w:qFormat/>
  </w:style>
  <w:style w:type="numbering" w:styleId="WW8Num2" w:customStyle="1">
    <w:name w:val="WW8Num2"/>
    <w:qFormat/>
    <w:rsid w:val="00413047"/>
  </w:style>
  <w:style w:type="numbering" w:styleId="WW8Num3" w:customStyle="1">
    <w:name w:val="WW8Num3"/>
    <w:qFormat/>
    <w:rsid w:val="00413047"/>
  </w:style>
  <w:style w:type="numbering" w:styleId="WW8Num4" w:customStyle="1">
    <w:name w:val="WW8Num4"/>
    <w:qFormat/>
    <w:rsid w:val="00413047"/>
  </w:style>
  <w:style w:type="table" w:default="1" w:styleId="Standardowy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starosta@powiat.sierpc.pl" TargetMode="Externa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Application>LibreOffice/7.4.3.2$Windows_X86_64 LibreOffice_project/1048a8393ae2eeec98dff31b5c133c5f1d08b890</Application>
  <AppVersion>15.0000</AppVersion>
  <DocSecurity>0</DocSecurity>
  <Pages>2</Pages>
  <Words>407</Words>
  <Characters>2573</Characters>
  <CharactersWithSpaces>3032</CharactersWithSpaces>
  <Paragraphs>39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pl-PL</dc:language>
  <cp:lastModifiedBy/>
  <dcterms:modified xsi:type="dcterms:W3CDTF">2025-05-15T11:41:49Z</dcterms:modified>
  <cp:revision>15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Info 1">
    <vt:lpwstr/>
  </property>
  <property fmtid="{D5CDD505-2E9C-101B-9397-08002B2CF9AE}" pid="4" name="Info 2">
    <vt:lpwstr/>
  </property>
  <property fmtid="{D5CDD505-2E9C-101B-9397-08002B2CF9AE}" pid="5" name="Info 3">
    <vt:lpwstr/>
  </property>
  <property fmtid="{D5CDD505-2E9C-101B-9397-08002B2CF9AE}" pid="6" name="Info 4">
    <vt:lpwstr/>
  </property>
  <property fmtid="{D5CDD505-2E9C-101B-9397-08002B2CF9AE}" pid="7" name="LinksUpToDate">
    <vt:bool>0</vt:bool>
  </property>
  <property fmtid="{D5CDD505-2E9C-101B-9397-08002B2CF9AE}" pid="8" name="ScaleCrop">
    <vt:bool>0</vt:bool>
  </property>
  <property fmtid="{D5CDD505-2E9C-101B-9397-08002B2CF9AE}" pid="9" name="ShareDoc">
    <vt:bool>0</vt:bool>
  </property>
</Properties>
</file>