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1"/>
      </w:pPr>
    </w:p>
    <w:p>
      <w:pPr>
        <w:pStyle w:val="BodyText"/>
        <w:spacing w:before="1"/>
        <w:ind w:left="200"/>
      </w:pPr>
      <w:r>
        <w:rPr>
          <w:w w:val="80"/>
        </w:rPr>
        <w:t>16</w:t>
      </w:r>
      <w:r>
        <w:rPr>
          <w:spacing w:val="13"/>
          <w:w w:val="80"/>
        </w:rPr>
        <w:t> </w:t>
      </w:r>
      <w:r>
        <w:rPr>
          <w:w w:val="80"/>
        </w:rPr>
        <w:t>Komora</w:t>
      </w:r>
      <w:r>
        <w:rPr>
          <w:spacing w:val="12"/>
          <w:w w:val="80"/>
        </w:rPr>
        <w:t> </w:t>
      </w:r>
      <w:r>
        <w:rPr>
          <w:w w:val="80"/>
        </w:rPr>
        <w:t>hiperbaryczna</w:t>
      </w:r>
      <w:r>
        <w:rPr>
          <w:spacing w:val="17"/>
          <w:w w:val="80"/>
        </w:rPr>
        <w:t> </w:t>
      </w:r>
      <w:r>
        <w:rPr>
          <w:w w:val="80"/>
        </w:rPr>
        <w:t>wieloosobowa</w:t>
      </w:r>
    </w:p>
    <w:p>
      <w:pPr>
        <w:pStyle w:val="BodyText"/>
        <w:spacing w:before="1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9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producenta: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i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typ: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Komora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hiperbaryczna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miejscowa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7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Komora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modułowa,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możliwy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montaż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drzwi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szer.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80cm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2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Komora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poliwęglanowo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aluminiowym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cylindrem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ponad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190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Ciśnienie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komorze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1,5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2"/>
              <w:rPr>
                <w:sz w:val="20"/>
              </w:rPr>
            </w:pPr>
            <w:r>
              <w:rPr>
                <w:sz w:val="20"/>
              </w:rPr>
              <w:t>komora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wraz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całym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niezbędnym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wyposażeniem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0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493"/>
              <w:rPr>
                <w:sz w:val="20"/>
              </w:rPr>
            </w:pPr>
            <w:r>
              <w:rPr>
                <w:sz w:val="20"/>
              </w:rPr>
              <w:t>medyczne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certyfikowane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koncentratory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tlenu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wysokiej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wydajności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przepływie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litrów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minutę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stężeniu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tlenu 94%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ilość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koncentratorów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dostosowana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ilości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miejsc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układ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trzech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sprężarek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powietrza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2,5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systemem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filtrów,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układami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pneumatyki oraz automatycznym sterowaniem wbudowane w panel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sterowniczy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0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zewnętrzny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wewnętrzny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panel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automatycznego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sterowania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ekranem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dotykowym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intuicyjnym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oprogramowaniem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specjalistycznym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2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cyfrowe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wyświetlanie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kluczowych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parametrów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terapii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takich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jak: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ciśnienie,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czas,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temperatura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0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pacing w:val="-1"/>
                <w:sz w:val="20"/>
              </w:rPr>
              <w:t>wbudowany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obustronnej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komunikacji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operator-pacjent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-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(intercom)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układ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podłączenia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koncentratorów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tlenu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masek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oddechowych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2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169"/>
              <w:rPr>
                <w:sz w:val="20"/>
              </w:rPr>
            </w:pPr>
            <w:r>
              <w:rPr>
                <w:spacing w:val="-1"/>
                <w:sz w:val="20"/>
              </w:rPr>
              <w:t>wnętrze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komory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wykończone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certyfikowanym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estetycznym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materiałem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antybakteryjnym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łatwym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utrzymaniu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czystości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0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wysokiej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jakości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komfortowe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fotele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specjalnego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włókna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polimerowego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wysokiej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jakości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tapicerki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łatwe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dezynfekcji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czyszczeniu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oświetlenie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wnętrza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komory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2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792"/>
              <w:rPr>
                <w:sz w:val="20"/>
              </w:rPr>
            </w:pPr>
            <w:r>
              <w:rPr>
                <w:sz w:val="20"/>
              </w:rPr>
              <w:t>wbudowany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dodatkowy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układ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wentylacji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wnętrza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komory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wraz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systemem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regulacji temperatury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0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1885"/>
              <w:rPr>
                <w:sz w:val="20"/>
              </w:rPr>
            </w:pPr>
            <w:r>
              <w:rPr>
                <w:sz w:val="20"/>
              </w:rPr>
              <w:t>Dodatkowe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funkcje: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regulacja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prędkości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sprężania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rozprężania,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wyrównywania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ciśnienia,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sterowania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wentylacją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Wymiary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zew.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(średnica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długość)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195x298cm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+/-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5cm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Auto.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panel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sterowania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"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ekran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dotykowy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Wew.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Sterowanie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7,5"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ekran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dotykowy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0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Konstrukcja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komory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umożliwia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wprowadzenie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pacjentów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wózkach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inwalidzkich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2"/>
              <w:rPr>
                <w:sz w:val="20"/>
              </w:rPr>
            </w:pPr>
            <w:r>
              <w:rPr>
                <w:sz w:val="20"/>
              </w:rPr>
              <w:t>System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multimedialny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436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spacing w:before="7"/>
              <w:ind w:left="0"/>
              <w:rPr>
                <w:rFonts w:ascii="Microsoft Sans Serif"/>
                <w:sz w:val="3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14"/>
              <w:ind w:right="17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Firmowe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materiały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informacyjne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producenta</w:t>
            </w:r>
            <w:r>
              <w:rPr>
                <w:rFonts w:ascii="Microsoft Sans Serif" w:hAnsi="Microsoft Sans Serif"/>
                <w:spacing w:val="1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lub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autoryzowanego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dystrybutora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języku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polskim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potwierdzające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spełnienie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wymaganych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parametrów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oferowanego</w:t>
            </w:r>
            <w:r>
              <w:rPr>
                <w:rFonts w:ascii="Microsoft Sans Serif" w:hAnsi="Microsoft Sans Serif"/>
                <w:spacing w:val="-6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wyrobu</w:t>
            </w:r>
            <w:r>
              <w:rPr>
                <w:rFonts w:ascii="Microsoft Sans Serif" w:hAnsi="Microsoft Sans Serif"/>
                <w:spacing w:val="-6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–</w:t>
            </w:r>
            <w:r>
              <w:rPr>
                <w:rFonts w:ascii="Microsoft Sans Serif" w:hAnsi="Microsoft Sans Serif"/>
                <w:spacing w:val="-6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dołączyć</w:t>
            </w:r>
            <w:r>
              <w:rPr>
                <w:rFonts w:ascii="Microsoft Sans Serif" w:hAnsi="Microsoft Sans Serif"/>
                <w:spacing w:val="-5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do</w:t>
            </w:r>
            <w:r>
              <w:rPr>
                <w:rFonts w:ascii="Microsoft Sans Serif" w:hAnsi="Microsoft Sans Serif"/>
                <w:spacing w:val="-6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12" w:lineRule="exact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przypadku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wątpliwości</w:t>
            </w:r>
            <w:r>
              <w:rPr>
                <w:rFonts w:ascii="Microsoft Sans Serif" w:hAnsi="Microsoft Sans Serif"/>
                <w:spacing w:val="1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co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zaoferowanych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parametrów,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Zamawiający</w:t>
            </w:r>
          </w:p>
          <w:p>
            <w:pPr>
              <w:pStyle w:val="TableParagraph"/>
              <w:spacing w:before="2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zastrzega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sobie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możliwość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wezwania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oferenta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prezentacji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05" w:lineRule="exact" w:before="4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9"/>
        <w:rPr>
          <w:rFonts w:ascii="Microsoft Sans Serif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7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6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spacing w:after="0"/>
        <w:sectPr>
          <w:type w:val="continuous"/>
          <w:pgSz w:w="11910" w:h="16840"/>
          <w:pgMar w:top="1340" w:bottom="280" w:left="520" w:right="560"/>
        </w:sect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85" w:after="0"/>
        <w:ind w:left="920" w:right="95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6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6"/>
        <w:jc w:val="right"/>
      </w:pPr>
      <w:r>
        <w:rPr>
          <w:w w:val="80"/>
        </w:rPr>
        <w:t>Podpis</w:t>
      </w:r>
      <w:r>
        <w:rPr>
          <w:spacing w:val="27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2022-03-10T10:57:33Z</dcterms:created>
  <dcterms:modified xsi:type="dcterms:W3CDTF">2022-03-10T10:57:33Z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