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22</w:t>
      </w:r>
      <w:r>
        <w:rPr>
          <w:spacing w:val="11"/>
          <w:w w:val="80"/>
        </w:rPr>
        <w:t> </w:t>
      </w:r>
      <w:r>
        <w:rPr>
          <w:w w:val="80"/>
        </w:rPr>
        <w:t>Lustro</w:t>
      </w:r>
      <w:r>
        <w:rPr>
          <w:spacing w:val="11"/>
          <w:w w:val="80"/>
        </w:rPr>
        <w:t> </w:t>
      </w:r>
      <w:r>
        <w:rPr>
          <w:w w:val="80"/>
        </w:rPr>
        <w:t>korekcyjne</w:t>
      </w:r>
      <w:r>
        <w:rPr>
          <w:spacing w:val="9"/>
          <w:w w:val="80"/>
        </w:rPr>
        <w:t> </w:t>
      </w:r>
      <w:r>
        <w:rPr>
          <w:w w:val="80"/>
        </w:rPr>
        <w:t>mobilne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Lustro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korekcyjne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pojedyncze.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Wyposażone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kółka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umożliwiające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łatwe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przemieszczanie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Rama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lustra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jest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kształtowników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Środkowy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element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lustra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naciętą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siatkę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posturograficzną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 w:right="3605"/>
              <w:rPr>
                <w:sz w:val="20"/>
              </w:rPr>
            </w:pPr>
            <w:r>
              <w:rPr>
                <w:spacing w:val="-1"/>
                <w:sz w:val="20"/>
              </w:rPr>
              <w:t>Wymiary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"/>
                <w:sz w:val="20"/>
              </w:rPr>
              <w:t>lustra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"/>
                <w:sz w:val="20"/>
              </w:rPr>
              <w:t>korekcyjnego: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70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 160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2022-03-10T10:58:43Z</dcterms:created>
  <dcterms:modified xsi:type="dcterms:W3CDTF">2022-03-10T10:58:43Z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