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2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lang w:val="pl-PL"/>
        </w:rPr>
      </w:pPr>
      <w:r>
        <w:rPr>
          <w:color w:val="000000"/>
          <w:spacing w:val="0"/>
          <w:w w:val="100"/>
          <w:sz w:val="28"/>
          <w:szCs w:val="28"/>
          <w:lang w:val="pl-PL" w:eastAsia="pl-PL" w:bidi="pl-PL"/>
        </w:rPr>
        <w:tab/>
        <w:tab/>
        <w:tab/>
        <w:tab/>
        <w:tab/>
      </w:r>
      <w:bookmarkStart w:id="0" w:name="bookmark0"/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ZAKRE</w:t>
      </w: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S</w:t>
      </w:r>
      <w:bookmarkEnd w:id="0"/>
    </w:p>
    <w:p>
      <w:pPr>
        <w:pStyle w:val="Heading1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ab/>
        <w:tab/>
      </w:r>
      <w:bookmarkStart w:id="1" w:name="bookmark1"/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czynności, uprawnień i odpowiedzialności</w:t>
      </w:r>
      <w:bookmarkEnd w:id="1"/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</w:t>
      </w:r>
    </w:p>
    <w:p>
      <w:pPr>
        <w:pStyle w:val="Heading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Pani/a – audytora wewnętrznego  zatrudnionego na Samodzielnym stanowisku ds. audytu wewnętrznego i kontroli.</w:t>
      </w:r>
    </w:p>
    <w:p>
      <w:pPr>
        <w:pStyle w:val="Heading11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w w:val="100"/>
          <w:sz w:val="26"/>
          <w:szCs w:val="26"/>
          <w:lang w:val="pl-PL" w:eastAsia="pl-PL" w:bidi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</w:r>
    </w:p>
    <w:p>
      <w:pPr>
        <w:pStyle w:val="Bodytext4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09"/>
          <w:tab w:val="left" w:pos="332" w:leader="none"/>
        </w:tabs>
        <w:bidi w:val="0"/>
        <w:spacing w:lineRule="auto" w:line="240" w:before="0" w:after="0"/>
        <w:ind w:left="380" w:right="0" w:hanging="38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Informacja o stanowisku pracy :</w:t>
      </w:r>
    </w:p>
    <w:p>
      <w:pPr>
        <w:pStyle w:val="Bodytext41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33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Bodytext2Bold"/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1.</w:t>
      </w:r>
      <w:r>
        <w:rPr>
          <w:rStyle w:val="Bodytext2Bold"/>
          <w:b w:val="false"/>
          <w:bCs w:val="false"/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</w:t>
      </w:r>
      <w:r>
        <w:rPr>
          <w:rStyle w:val="Bodytext2Bold"/>
          <w:b w:val="false"/>
          <w:bCs w:val="false"/>
          <w:sz w:val="26"/>
          <w:szCs w:val="26"/>
          <w:lang w:val="pl-PL"/>
        </w:rPr>
        <w:t>Nazwa i symbol komórki organizacyjnej – Samodzielne stanowisko pracy  do spraw audytu wewnętrznego i kontroli  (</w:t>
      </w:r>
      <w:r>
        <w:rPr>
          <w:rStyle w:val="Bodytext2Bold"/>
          <w:b/>
          <w:bCs/>
          <w:sz w:val="26"/>
          <w:szCs w:val="26"/>
          <w:lang w:val="pl-PL"/>
        </w:rPr>
        <w:t>AW</w:t>
      </w:r>
      <w:r>
        <w:rPr>
          <w:rStyle w:val="Bodytext2Bold"/>
          <w:b w:val="false"/>
          <w:bCs w:val="false"/>
          <w:sz w:val="26"/>
          <w:szCs w:val="26"/>
          <w:lang w:val="pl-PL"/>
        </w:rPr>
        <w:t>)</w:t>
      </w:r>
    </w:p>
    <w:p>
      <w:pPr>
        <w:pStyle w:val="Bodytext41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332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Bodytext2Bold"/>
          <w:b/>
          <w:bCs/>
          <w:sz w:val="26"/>
          <w:szCs w:val="26"/>
          <w:lang w:val="pl-PL"/>
        </w:rPr>
        <w:t>2.</w:t>
      </w:r>
      <w:r>
        <w:rPr>
          <w:rStyle w:val="Bodytext2Bold"/>
          <w:b w:val="false"/>
          <w:bCs w:val="false"/>
          <w:sz w:val="26"/>
          <w:szCs w:val="26"/>
          <w:lang w:val="pl-PL"/>
        </w:rPr>
        <w:t xml:space="preserve"> Miejsce w strukturze organizacyjnej: samodzielne stanowisko pracy do spraw audytu wewnętrznego i kontroli  w komórce wewnętrznej Starostwa Powiatowego w Sierpcu </w:t>
      </w:r>
    </w:p>
    <w:p>
      <w:pPr>
        <w:pStyle w:val="Bodytext4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098" w:leader="none"/>
        </w:tabs>
        <w:bidi w:val="0"/>
        <w:spacing w:lineRule="auto" w:line="240" w:before="0" w:after="0"/>
        <w:ind w:left="720" w:right="0" w:hanging="0"/>
        <w:jc w:val="left"/>
        <w:rPr/>
      </w:pPr>
      <w:r>
        <w:rPr>
          <w:b w:val="false"/>
          <w:bCs w:val="false"/>
          <w:color w:val="000000"/>
          <w:spacing w:val="0"/>
          <w:w w:val="100"/>
          <w:sz w:val="26"/>
          <w:szCs w:val="26"/>
          <w:lang w:val="pl-PL" w:eastAsia="pl-PL" w:bidi="pl-PL"/>
        </w:rPr>
        <w:t xml:space="preserve">Stanowisko wg tabeli zaszeregowania: </w:t>
      </w:r>
      <w:r>
        <w:rPr>
          <w:rStyle w:val="Bodytext4NotBold"/>
          <w:b/>
          <w:bCs/>
          <w:sz w:val="26"/>
          <w:szCs w:val="26"/>
          <w:lang w:val="pl-PL"/>
        </w:rPr>
        <w:t xml:space="preserve">audytor wewnętrzny 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098" w:leader="none"/>
        </w:tabs>
        <w:bidi w:val="0"/>
        <w:spacing w:lineRule="auto" w:line="240" w:before="0" w:after="0"/>
        <w:ind w:left="720" w:right="0" w:hanging="0"/>
        <w:jc w:val="left"/>
        <w:rPr/>
      </w:pPr>
      <w:r>
        <w:rPr>
          <w:rStyle w:val="Bodytext2Bold"/>
          <w:b w:val="false"/>
          <w:bCs w:val="false"/>
          <w:sz w:val="26"/>
          <w:szCs w:val="26"/>
          <w:lang w:val="pl-PL"/>
        </w:rPr>
        <w:t>Podporządkowanie</w:t>
      </w:r>
      <w:r>
        <w:rPr>
          <w:rStyle w:val="Bodytext2Bold"/>
          <w:sz w:val="26"/>
          <w:szCs w:val="26"/>
          <w:lang w:val="pl-PL"/>
        </w:rPr>
        <w:t xml:space="preserve"> 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- bezpośrednio:       </w:t>
      </w: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Sekretarz Powiatu</w:t>
      </w:r>
    </w:p>
    <w:p>
      <w:pPr>
        <w:pStyle w:val="Bodytext21"/>
        <w:widowControl w:val="false"/>
        <w:numPr>
          <w:ilvl w:val="0"/>
          <w:numId w:val="2"/>
        </w:numPr>
        <w:shd w:val="clear" w:color="auto" w:fill="auto"/>
        <w:tabs>
          <w:tab w:val="clear" w:pos="709"/>
          <w:tab w:val="left" w:pos="1098" w:leader="none"/>
        </w:tabs>
        <w:bidi w:val="0"/>
        <w:spacing w:lineRule="auto" w:line="240" w:before="0" w:after="0"/>
        <w:ind w:left="72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Zastępstwa :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09"/>
          <w:tab w:val="left" w:pos="1313" w:leader="none"/>
        </w:tabs>
        <w:bidi w:val="0"/>
        <w:spacing w:lineRule="auto" w:line="240" w:before="0" w:after="0"/>
        <w:ind w:left="1060" w:right="0" w:hanging="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jest zastępowana/y przez: </w:t>
      </w: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 xml:space="preserve">nie dotyczy 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,</w:t>
      </w:r>
    </w:p>
    <w:p>
      <w:pPr>
        <w:pStyle w:val="Bodytext21"/>
        <w:widowControl w:val="false"/>
        <w:numPr>
          <w:ilvl w:val="0"/>
          <w:numId w:val="3"/>
        </w:numPr>
        <w:shd w:val="clear" w:color="auto" w:fill="auto"/>
        <w:tabs>
          <w:tab w:val="clear" w:pos="709"/>
          <w:tab w:val="left" w:pos="1313" w:leader="none"/>
        </w:tabs>
        <w:bidi w:val="0"/>
        <w:spacing w:lineRule="auto" w:line="240" w:before="0" w:after="0"/>
        <w:ind w:left="1060" w:right="0" w:hanging="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zastępuje osobę :               </w:t>
      </w: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nie dotyczy.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</w:t>
      </w:r>
    </w:p>
    <w:p>
      <w:pPr>
        <w:pStyle w:val="Bodytext41"/>
        <w:widowControl w:val="false"/>
        <w:shd w:val="clear" w:color="auto" w:fill="auto"/>
        <w:tabs>
          <w:tab w:val="clear" w:pos="709"/>
          <w:tab w:val="left" w:pos="706" w:leader="none"/>
        </w:tabs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II . Zakres  zadań i obowiązków:</w:t>
      </w:r>
    </w:p>
    <w:p>
      <w:pPr>
        <w:pStyle w:val="Normal"/>
        <w:keepNext w:val="false"/>
        <w:keepLines w:val="false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>1.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 xml:space="preserve"> Dokonywanie oceny adekwatności, skuteczności i efektywności kontroli zarządczej w komórkach wewnętrznych Starostwa i jednostkach organizacyjnych Powiatu.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>2.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 xml:space="preserve"> Dokonywanie analiz obszarów ryzyka w zakresie działania komórek wewnętrznych Starostwa i jednostek  organizacyjnych Powiatu.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>3.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 xml:space="preserve"> Przeprowadzanie analizy obszarów ryzyka realizacji zadań wynikających z planów działania  oraz przygotowanie na tej podstawie rocznego  planu audytu do końca roku na rok następny.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>4.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 xml:space="preserve"> Sporządzenie do  końca stycznia każdego roku sprawozdania z wykonania planu audytu za rok poprzedni.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>5.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 xml:space="preserve"> Przeprowadzanie zadań audytowych zgodnie z rocznymi planami audytu oraz przedstawienie zaleceń w sprawie usunięcia uchybień  lub wprowadzenia usprawnień 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>6.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 xml:space="preserve"> Przeprowadzanie czynności audytowych zgodnie z zasadami i trybem przewidzianym przepisami prawa , powszechnie uznanymi standardami audytu wewnętrznego oraz Kodeksem Etyki Audytora Wewnętrznego.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 xml:space="preserve">7. 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>Koordynacja audytu wewnętrznego i kontroli wewnętrznej na terenie Powiatu w szczególności: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color w:val="110808"/>
          <w:sz w:val="26"/>
          <w:szCs w:val="26"/>
          <w:lang w:val="pl-PL"/>
        </w:rPr>
        <w:t>1) współpraca w ramach realizacji wykonywanych zadań kontroli instytucjonalnej na terenie Powiatu,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color w:val="110808"/>
          <w:sz w:val="26"/>
          <w:szCs w:val="26"/>
          <w:lang w:val="pl-PL"/>
        </w:rPr>
        <w:t>2) uzgadnianie rocznych planów kontroli wewnętrznej i audytu,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color w:val="110808"/>
          <w:sz w:val="26"/>
          <w:szCs w:val="26"/>
          <w:lang w:val="pl-PL"/>
        </w:rPr>
        <w:t>3) reprezentowanie Starosty Sierpeckiego podczas kontroli zewnętrznych 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color w:val="110808"/>
          <w:sz w:val="26"/>
          <w:szCs w:val="26"/>
          <w:lang w:val="pl-PL"/>
        </w:rPr>
        <w:t>4) realizacja innych zadań Powiatu wynikających z obowiązujących przepisów prawa 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20" w:leader="none"/>
          <w:tab w:val="left" w:pos="2466" w:leader="none"/>
        </w:tabs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rFonts w:ascii="Times New Roman" w:hAnsi="Times New Roman"/>
          <w:b/>
          <w:bCs/>
          <w:color w:val="110808"/>
          <w:sz w:val="26"/>
          <w:szCs w:val="26"/>
          <w:lang w:val="pl-PL"/>
        </w:rPr>
        <w:t>8.</w:t>
      </w:r>
      <w:r>
        <w:rPr>
          <w:rFonts w:ascii="Times New Roman" w:hAnsi="Times New Roman"/>
          <w:color w:val="110808"/>
          <w:sz w:val="26"/>
          <w:szCs w:val="26"/>
          <w:lang w:val="pl-PL"/>
        </w:rPr>
        <w:t xml:space="preserve"> Prowadzenie kontroli realizacji zadań  w Starostwie i komórkach wewnętrznych Starostwa w zakresie uzgodnionym ze Starostą Sierpeckim 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720" w:leader="none"/>
          <w:tab w:val="left" w:pos="2466" w:leader="none"/>
        </w:tabs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9.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110808"/>
          <w:spacing w:val="0"/>
          <w:w w:val="100"/>
          <w:sz w:val="26"/>
          <w:szCs w:val="26"/>
          <w:lang w:val="pl-PL" w:eastAsia="pl-PL" w:bidi="pl-PL"/>
        </w:rPr>
        <w:t>Realizacja zada</w:t>
      </w:r>
      <w:r>
        <w:rPr>
          <w:rFonts w:eastAsia="Times New Roman" w:cs="Times New Roman" w:ascii="Times New Roman" w:hAnsi="Times New Roman"/>
          <w:b w:val="false"/>
          <w:bCs w:val="false"/>
          <w:color w:val="110808"/>
          <w:sz w:val="26"/>
          <w:szCs w:val="26"/>
        </w:rPr>
        <w:t>ń wynikających z Procedury określającej sposób organizacji i zasady wykonywania kontroli zarządczej w Starostwie Powiatowym w Sierpcu i jednostkach organizacyjnych Powiatu Sierpeckiego oraz zasad jej koordynacji zatwierdzonej Zarządzeniem Starosty Sierpeckiego oraz z przepisów wykonawczych do ustawy o finansach publicznych dotyczących realizacji zadań audytowych  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459" w:leader="none"/>
        </w:tabs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 xml:space="preserve">10. 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Przestrzeganie zasad pracy wynikających z regulaminów, instrukcji kancelaryjnej i jednolitego rzeczowego wykazu akt.</w:t>
      </w:r>
    </w:p>
    <w:p>
      <w:pPr>
        <w:pStyle w:val="Bodytext21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459" w:leader="none"/>
        </w:tabs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11.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 Wykonywanie innych czynności zleconych przez przełożonych.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459" w:leader="none"/>
        </w:tabs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</w:r>
    </w:p>
    <w:p>
      <w:pPr>
        <w:pStyle w:val="Bodytext21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459" w:leader="none"/>
        </w:tabs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III. Uprawnienia: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380" w:right="0" w:hanging="380"/>
        <w:jc w:val="left"/>
        <w:rPr>
          <w:sz w:val="26"/>
          <w:szCs w:val="26"/>
          <w:lang w:val="pl-PL"/>
        </w:rPr>
      </w:pP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 xml:space="preserve">1. 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Uprawnienia wynikające z ustawy z dnia 21 listopada 2008r. o pracownikach  samorządowych (Dz. U. z 2022, poz. 530).</w:t>
      </w:r>
    </w:p>
    <w:p>
      <w:pPr>
        <w:pStyle w:val="Bodytext21"/>
        <w:keepNext w:val="false"/>
        <w:keepLines w:val="false"/>
        <w:widowControl w:val="false"/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2.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Inicjowanie i wnioskowanie usprawnień organizacyjnych funkcjonowania stanowiska pracy.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>3.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 Proponowanie rozstrzygnięć w konkretnych sprawach z zakresu stanowiska </w:t>
        <w:tab/>
        <w:t>pracy.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b/>
          <w:bCs/>
          <w:color w:val="000000"/>
          <w:spacing w:val="0"/>
          <w:w w:val="100"/>
          <w:sz w:val="26"/>
          <w:szCs w:val="26"/>
          <w:lang w:val="pl-PL" w:eastAsia="pl-PL" w:bidi="pl-PL"/>
        </w:rPr>
        <w:t xml:space="preserve">4. </w:t>
      </w: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Wgląd do dokumentów na zajmowanym stanowisku.</w:t>
      </w:r>
    </w:p>
    <w:p>
      <w:pPr>
        <w:pStyle w:val="Bodytext51"/>
        <w:keepNext w:val="false"/>
        <w:keepLines w:val="false"/>
        <w:widowControl w:val="false"/>
        <w:shd w:val="clear" w:color="auto" w:fill="auto"/>
        <w:tabs>
          <w:tab w:val="clear" w:pos="709"/>
          <w:tab w:val="left" w:pos="713" w:leader="none"/>
        </w:tabs>
        <w:bidi w:val="0"/>
        <w:spacing w:lineRule="auto" w:line="240" w:before="0" w:after="0"/>
        <w:ind w:left="0" w:right="0" w:hanging="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IV. Zakres odpowiedzialności: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4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Prawidłowe i terminowe wykonywanie obowiązków określonych zakresem czynności.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Znajomość i przestrzeganie przepisów prawa, w tym: Kodeksu Postępowania Administracyjnego i ustawy o samorządzie powiatowym, Prawa zamówień Publicznych, ustawy o zasadach prowadzenia polityki rozwoju  oraz Statutu Powiatu, Regulaminu Organizacyjnego i innych aktów kierowania wewnętrznego w Starostwie.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Przestrzeganie przepisów o ochronie danych osobowych oraz ochronie informacji niejawnych.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Zachowanie uprzejmości i życzliwości w kontaktach ze zwierzchnikami, współpracownikami oraz w kontaktach z radnymi i interesantami.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Zachowanie się z godnością w miejscu pracy i poza nim.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Przestrzeganie Kodeksu Etyki pracowników Starostwa Powiatowego                   w Sierpcu.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Przestrzeganie ustalonego w zakładzie pracy czasu pracy i porządku określonego w Regulaminie Pracy.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Przestrzeganie przepisów i zasad bhp i p.poż.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358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Dbanie o dobry wizerunek urzędu, ochronę jego mienia i użytkowanie zgodnie z jego przeznaczeniem.</w:t>
      </w:r>
    </w:p>
    <w:p>
      <w:pPr>
        <w:pStyle w:val="Bodytext21"/>
        <w:keepNext w:val="false"/>
        <w:keepLines w:val="false"/>
        <w:widowControl w:val="false"/>
        <w:numPr>
          <w:ilvl w:val="0"/>
          <w:numId w:val="4"/>
        </w:numPr>
        <w:shd w:val="clear" w:color="auto" w:fill="auto"/>
        <w:tabs>
          <w:tab w:val="clear" w:pos="709"/>
          <w:tab w:val="left" w:pos="452" w:leader="none"/>
        </w:tabs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Dbanie o czystość i porządek w miejscu pracy oraz na terenie całego zakładu pracy.</w:t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380" w:right="0" w:hanging="380"/>
        <w:jc w:val="both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Niniejszy zakres czynności może ulec zmianie wskutek zmian: organizacyjnych,  podziału kompetencji lub przepisów prawa.</w:t>
      </w:r>
    </w:p>
    <w:p>
      <w:pPr>
        <w:pStyle w:val="Bodytext21"/>
        <w:widowControl w:val="false"/>
        <w:shd w:val="clear" w:color="auto" w:fill="auto"/>
        <w:bidi w:val="0"/>
        <w:spacing w:lineRule="auto" w:line="240" w:before="0" w:after="0"/>
        <w:ind w:left="380" w:right="0" w:hanging="380"/>
        <w:jc w:val="left"/>
        <w:rPr>
          <w:rFonts w:ascii="Times New Roman" w:hAnsi="Times New Roman"/>
          <w:color w:val="000000"/>
          <w:spacing w:val="0"/>
          <w:w w:val="100"/>
          <w:sz w:val="26"/>
          <w:szCs w:val="26"/>
          <w:lang w:val="pl-PL" w:eastAsia="pl-PL" w:bidi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</w:r>
    </w:p>
    <w:p>
      <w:pPr>
        <w:pStyle w:val="Bodytext21"/>
        <w:widowControl w:val="false"/>
        <w:shd w:val="clear" w:color="auto" w:fill="auto"/>
        <w:bidi w:val="0"/>
        <w:spacing w:lineRule="auto" w:line="240" w:before="0" w:after="0"/>
        <w:ind w:left="380" w:right="0" w:hanging="380"/>
        <w:jc w:val="left"/>
        <w:rPr>
          <w:rFonts w:ascii="Times New Roman" w:hAnsi="Times New Roman"/>
          <w:color w:val="000000"/>
          <w:spacing w:val="0"/>
          <w:w w:val="100"/>
          <w:sz w:val="26"/>
          <w:szCs w:val="26"/>
          <w:lang w:val="pl-PL" w:eastAsia="pl-PL" w:bidi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lang w:eastAsia="pl-PL" w:bidi="pl-PL"/>
        </w:rPr>
      </w:pPr>
      <w:r>
        <w:rPr>
          <w:color w:val="000000"/>
          <w:spacing w:val="0"/>
          <w:w w:val="100"/>
          <w:lang w:eastAsia="pl-PL" w:bidi="pl-PL"/>
        </w:rPr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SPORZĄDZIŁ</w:t>
        <w:tab/>
        <w:tab/>
        <w:tab/>
        <w:tab/>
        <w:tab/>
        <w:t xml:space="preserve">     ZATWIERDZIŁ</w:t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w w:val="100"/>
          <w:sz w:val="26"/>
          <w:szCs w:val="26"/>
          <w:lang w:val="pl-PL" w:eastAsia="pl-PL" w:bidi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 xml:space="preserve">Ryszard Dobiesz-  </w:t>
        <w:tab/>
        <w:tab/>
        <w:tab/>
        <w:t>……………………………………...</w:t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Sekretarz  Powiatu</w:t>
        <w:tab/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lang w:eastAsia="pl-PL" w:bidi="pl-PL"/>
        </w:rPr>
      </w:pPr>
      <w:r>
        <w:rPr>
          <w:color w:val="000000"/>
          <w:spacing w:val="0"/>
          <w:w w:val="100"/>
          <w:lang w:eastAsia="pl-PL" w:bidi="pl-PL"/>
        </w:rPr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lang w:eastAsia="pl-PL" w:bidi="pl-PL"/>
        </w:rPr>
      </w:pPr>
      <w:r>
        <w:rPr>
          <w:color w:val="000000"/>
          <w:spacing w:val="0"/>
          <w:w w:val="100"/>
          <w:lang w:eastAsia="pl-PL" w:bidi="pl-PL"/>
        </w:rPr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Niniejszy zakres czynności, uprawnień i odpowiedzialności przyjmuje do wiadomości i przestrzegania</w:t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color w:val="000000"/>
          <w:spacing w:val="0"/>
          <w:w w:val="100"/>
          <w:sz w:val="26"/>
          <w:szCs w:val="26"/>
          <w:lang w:val="pl-PL" w:eastAsia="pl-PL" w:bidi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</w:r>
    </w:p>
    <w:p>
      <w:pPr>
        <w:pStyle w:val="Bodytext21"/>
        <w:widowControl w:val="false"/>
        <w:shd w:val="clear" w:fill="FFFFFF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color w:val="000000"/>
          <w:spacing w:val="0"/>
          <w:w w:val="100"/>
          <w:sz w:val="26"/>
          <w:szCs w:val="26"/>
          <w:lang w:val="pl-PL" w:eastAsia="pl-PL" w:bidi="pl-PL"/>
        </w:rPr>
        <w:t>Sierpc,dnia ………………………                ……………………………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  <w:lang w:val="pl-PL"/>
        </w:rPr>
      </w:pPr>
      <w:r>
        <w:rPr>
          <w:rFonts w:ascii="Times New Roman" w:hAnsi="Times New Roman"/>
          <w:color w:val="000000"/>
          <w:spacing w:val="0"/>
          <w:w w:val="100"/>
          <w:sz w:val="26"/>
          <w:szCs w:val="26"/>
          <w:lang w:val="pl-PL" w:eastAsia="pl-PL" w:bidi="pl-PL"/>
        </w:rPr>
        <w:tab/>
        <w:tab/>
        <w:tab/>
        <w:tab/>
        <w:tab/>
        <w:tab/>
        <w:t xml:space="preserve">                    P</w:t>
      </w:r>
      <w:r>
        <w:rPr>
          <w:rFonts w:ascii="Times New Roman" w:hAnsi="Times New Roman"/>
          <w:i w:val="false"/>
          <w:iCs w:val="false"/>
          <w:color w:val="000000"/>
          <w:spacing w:val="0"/>
          <w:w w:val="100"/>
          <w:sz w:val="26"/>
          <w:szCs w:val="26"/>
          <w:lang w:val="pl-PL" w:eastAsia="pl-PL" w:bidi="pl-PL"/>
        </w:rPr>
        <w:t>odpis pracownika</w:t>
      </w:r>
    </w:p>
    <w:sectPr>
      <w:footerReference w:type="default" r:id="rId2"/>
      <w:type w:val="nextPage"/>
      <w:pgSz w:w="11906" w:h="16838"/>
      <w:pgMar w:left="1650" w:right="1444" w:header="0" w:top="1303" w:footer="3" w:bottom="1533" w:gutter="0"/>
      <w:pgNumType w:fmt="lowerRoman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rPr>
        <w:sz w:val="2"/>
        <w:szCs w:val="2"/>
        <w:lang w:val="pl-PL"/>
      </w:rPr>
    </w:pPr>
    <w:r>
      <w:rPr>
        <w:sz w:val="2"/>
        <w:szCs w:val="2"/>
        <w:lang w:val="pl-PL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6568440</wp:posOffset>
              </wp:positionH>
              <wp:positionV relativeFrom="page">
                <wp:posOffset>10010140</wp:posOffset>
              </wp:positionV>
              <wp:extent cx="36830" cy="145415"/>
              <wp:effectExtent l="0" t="0" r="0" b="0"/>
              <wp:wrapNone/>
              <wp:docPr id="1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6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Style w:val="Headerorfooter1"/>
                              <w:color w:val="000000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  <w:color w:val="000000"/>
                              <w:lang w:val="pl-PL"/>
                            </w:rPr>
                            <w:instrText> PAGE </w:instrText>
                          </w:r>
                          <w:r>
                            <w:rPr>
                              <w:rStyle w:val="Headerorfooter1"/>
                              <w:color w:val="000000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color w:val="000000"/>
                              <w:lang w:val="pl-PL"/>
                            </w:rPr>
                            <w:t>iii</w:t>
                          </w:r>
                          <w:r>
                            <w:rPr>
                              <w:rStyle w:val="Headerorfooter1"/>
                              <w:color w:val="000000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stroked="f" style="position:absolute;margin-left:517.2pt;margin-top:788.2pt;width:2.8pt;height:11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Style w:val="Headerorfooter1"/>
                        <w:color w:val="000000"/>
                        <w:lang w:val="pl-PL"/>
                      </w:rPr>
                      <w:fldChar w:fldCharType="begin"/>
                    </w:r>
                    <w:r>
                      <w:rPr>
                        <w:rStyle w:val="Headerorfooter1"/>
                        <w:color w:val="000000"/>
                        <w:lang w:val="pl-PL"/>
                      </w:rPr>
                      <w:instrText> PAGE </w:instrText>
                    </w:r>
                    <w:r>
                      <w:rPr>
                        <w:rStyle w:val="Headerorfooter1"/>
                        <w:color w:val="000000"/>
                        <w:lang w:val="pl-PL"/>
                      </w:rPr>
                      <w:fldChar w:fldCharType="separate"/>
                    </w:r>
                    <w:r>
                      <w:rPr>
                        <w:rStyle w:val="Headerorfooter1"/>
                        <w:color w:val="000000"/>
                        <w:lang w:val="pl-PL"/>
                      </w:rPr>
                      <w:t>iii</w:t>
                    </w:r>
                    <w:r>
                      <w:rPr>
                        <w:rStyle w:val="Headerorfooter1"/>
                        <w:color w:val="000000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2"/>
        <w:iCs w:val="false"/>
        <w:bCs/>
        <w:w w:val="100"/>
        <w:rFonts w:eastAsia="Times New Roman" w:cs="Times New Roman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2"/>
        <w:iCs w:val="false"/>
        <w:bCs/>
        <w:w w:val="100"/>
        <w:rFonts w:ascii="Times New Roman" w:hAnsi="Times New Roman" w:eastAsia="Times New Roman" w:cs="Times New Roman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lang w:eastAsia="pl-PL" w:bidi="pl-PL"/>
    </w:rPr>
  </w:style>
  <w:style w:type="character" w:styleId="Czeinternetowe">
    <w:name w:val="Łącze internetowe"/>
    <w:basedOn w:val="DefaultParagraphFont"/>
    <w:rPr>
      <w:color w:val="0066CC"/>
      <w:u w:val="single"/>
    </w:rPr>
  </w:style>
  <w:style w:type="character" w:styleId="PicturecaptionExact" w:customStyle="1">
    <w:name w:val="Picture caption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3" w:customStyle="1">
    <w:name w:val="Body text (3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Headerorfooter" w:customStyle="1">
    <w:name w:val="Header or footer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Headerorfooter1" w:customStyle="1">
    <w:name w:val="Header or footer"/>
    <w:basedOn w:val="Headerorfooter"/>
    <w:qFormat/>
    <w:rPr>
      <w:color w:val="000000"/>
      <w:spacing w:val="0"/>
      <w:w w:val="100"/>
      <w:lang w:eastAsia="pl-PL" w:bidi="pl-PL"/>
    </w:rPr>
  </w:style>
  <w:style w:type="character" w:styleId="Heading12" w:customStyle="1">
    <w:name w:val="Heading #1 (2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Heading1" w:customStyle="1">
    <w:name w:val="Heading #1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character" w:styleId="Bodytext4" w:customStyle="1">
    <w:name w:val="Body text (4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2" w:customStyle="1">
    <w:name w:val="Body text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2Bold" w:customStyle="1">
    <w:name w:val="Body text (2) + Bold"/>
    <w:basedOn w:val="Bodytext2"/>
    <w:qFormat/>
    <w:rPr>
      <w:b/>
      <w:bCs/>
      <w:color w:val="000000"/>
      <w:spacing w:val="0"/>
      <w:w w:val="100"/>
      <w:lang w:eastAsia="pl-PL" w:bidi="pl-PL"/>
    </w:rPr>
  </w:style>
  <w:style w:type="character" w:styleId="Bodytext4NotBold" w:customStyle="1">
    <w:name w:val="Body text (4) + Not Bold"/>
    <w:basedOn w:val="Bodytext4"/>
    <w:qFormat/>
    <w:rPr>
      <w:b/>
      <w:bCs/>
      <w:color w:val="000000"/>
      <w:spacing w:val="0"/>
      <w:w w:val="100"/>
      <w:lang w:eastAsia="pl-PL" w:bidi="pl-PL"/>
    </w:rPr>
  </w:style>
  <w:style w:type="character" w:styleId="Bodytext5" w:customStyle="1">
    <w:name w:val="Body text (5)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2Exact" w:customStyle="1">
    <w:name w:val="Body text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Bodytext6Exact" w:customStyle="1">
    <w:name w:val="Body text (6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Bodytext7Exact" w:customStyle="1">
    <w:name w:val="Body text (7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character" w:styleId="WW8Num46z0">
    <w:name w:val="WW8Num46z0"/>
    <w:qFormat/>
    <w:rPr>
      <w:color w:val="CE181E"/>
      <w:sz w:val="28"/>
      <w:szCs w:val="28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Znakiprzypiswkocowych">
    <w:name w:val="WW-Znaki przypisów końcowych"/>
    <w:qFormat/>
    <w:rPr/>
  </w:style>
  <w:style w:type="character" w:styleId="Odwoanieprzypisudolnego">
    <w:name w:val="Odwołanie przypisu dolnego"/>
    <w:qFormat/>
    <w:rPr>
      <w:vertAlign w:val="superscript"/>
    </w:rPr>
  </w:style>
  <w:style w:type="character" w:styleId="ZnakZnak2">
    <w:name w:val="Znak Znak2"/>
    <w:qFormat/>
    <w:rPr>
      <w:lang w:val="pl-PL" w:bidi="ar-SA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>
      <w:b w:val="false"/>
      <w:bCs w:val="false"/>
      <w:sz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icturecaption" w:customStyle="1">
    <w:name w:val="Picture caption"/>
    <w:basedOn w:val="Normal"/>
    <w:qFormat/>
    <w:pPr>
      <w:widowControl w:val="false"/>
      <w:shd w:val="clear" w:color="auto" w:fill="FFFFFF"/>
      <w:spacing w:lineRule="auto" w:line="2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Bodytext31" w:customStyle="1">
    <w:name w:val="Body text (3)"/>
    <w:basedOn w:val="Normal"/>
    <w:qFormat/>
    <w:pPr>
      <w:widowControl w:val="false"/>
      <w:shd w:val="clear" w:color="auto" w:fill="FFFFFF"/>
      <w:spacing w:lineRule="exact" w:line="223" w:before="0" w:after="300"/>
      <w:jc w:val="righ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Headerorfooter2" w:customStyle="1">
    <w:name w:val="Header or footer"/>
    <w:basedOn w:val="Normal"/>
    <w:qFormat/>
    <w:pPr>
      <w:widowControl w:val="false"/>
      <w:shd w:val="clear" w:color="auto" w:fill="FFFFFF"/>
      <w:spacing w:lineRule="auto" w:line="2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paragraph" w:styleId="Heading121" w:customStyle="1">
    <w:name w:val="Heading #1 (2)"/>
    <w:basedOn w:val="Normal"/>
    <w:qFormat/>
    <w:pPr>
      <w:widowControl w:val="false"/>
      <w:shd w:val="clear" w:color="auto" w:fill="FFFFFF"/>
      <w:spacing w:lineRule="auto" w:line="240" w:before="300" w:after="6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paragraph" w:styleId="Heading11" w:customStyle="1">
    <w:name w:val="Heading #1"/>
    <w:basedOn w:val="Normal"/>
    <w:qFormat/>
    <w:pPr>
      <w:widowControl w:val="false"/>
      <w:shd w:val="clear" w:color="auto" w:fill="FFFFFF"/>
      <w:spacing w:lineRule="auto" w:line="240" w:before="60" w:after="66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0"/>
      <w:szCs w:val="30"/>
      <w:u w:val="none"/>
    </w:rPr>
  </w:style>
  <w:style w:type="paragraph" w:styleId="Bodytext41" w:customStyle="1">
    <w:name w:val="Body text (4)"/>
    <w:basedOn w:val="Normal"/>
    <w:qFormat/>
    <w:pPr>
      <w:widowControl w:val="false"/>
      <w:shd w:val="clear" w:color="auto" w:fill="FFFFFF"/>
      <w:spacing w:lineRule="auto" w:line="240" w:before="660" w:after="300"/>
      <w:ind w:left="0" w:right="0" w:hanging="380"/>
      <w:jc w:val="both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Bodytext21" w:customStyle="1">
    <w:name w:val="Body text (2)"/>
    <w:basedOn w:val="Normal"/>
    <w:qFormat/>
    <w:pPr>
      <w:widowControl w:val="false"/>
      <w:shd w:val="clear" w:color="auto" w:fill="FFFFFF"/>
      <w:spacing w:lineRule="exact" w:line="252" w:before="300" w:after="0"/>
      <w:ind w:left="0" w:right="0" w:hanging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Bodytext51" w:customStyle="1">
    <w:name w:val="Body text (5)"/>
    <w:basedOn w:val="Normal"/>
    <w:qFormat/>
    <w:pPr>
      <w:widowControl w:val="false"/>
      <w:shd w:val="clear" w:color="auto" w:fill="FFFFFF"/>
      <w:spacing w:lineRule="auto" w:line="240" w:before="0" w:after="300"/>
      <w:ind w:left="0" w:right="0" w:hanging="380"/>
      <w:jc w:val="both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Bodytext6" w:customStyle="1">
    <w:name w:val="Body text (6)"/>
    <w:basedOn w:val="Normal"/>
    <w:qFormat/>
    <w:pPr>
      <w:widowControl w:val="false"/>
      <w:shd w:val="clear" w:color="auto" w:fill="FFFFFF"/>
      <w:spacing w:lineRule="auto" w:line="2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paragraph" w:styleId="Bodytext7" w:customStyle="1">
    <w:name w:val="Body text (7)"/>
    <w:basedOn w:val="Normal"/>
    <w:qFormat/>
    <w:pPr>
      <w:widowControl w:val="false"/>
      <w:shd w:val="clear" w:color="auto" w:fill="FFFFFF"/>
      <w:spacing w:lineRule="auto" w:line="24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4"/>
      <w:szCs w:val="14"/>
      <w:u w:val="none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Tekstpodstawowy2">
    <w:name w:val="Tekst podstawowy 2"/>
    <w:basedOn w:val="Normal"/>
    <w:qFormat/>
    <w:pPr>
      <w:spacing w:lineRule="auto" w:line="360"/>
      <w:jc w:val="both"/>
    </w:pPr>
    <w:rPr>
      <w:sz w:val="28"/>
    </w:rPr>
  </w:style>
  <w:style w:type="paragraph" w:styleId="Legenda">
    <w:name w:val="Legenda"/>
    <w:basedOn w:val="Normal"/>
    <w:qFormat/>
    <w:pPr>
      <w:spacing w:before="120" w:after="120"/>
    </w:pPr>
    <w:rPr>
      <w:rFonts w:cs="Arial"/>
      <w:i/>
      <w:iCs/>
    </w:rPr>
  </w:style>
  <w:style w:type="paragraph" w:styleId="Nagwek1">
    <w:name w:val="Nagłówek1"/>
    <w:basedOn w:val="Normal"/>
    <w:qFormat/>
    <w:pPr>
      <w:jc w:val="center"/>
    </w:pPr>
    <w:rPr>
      <w:b/>
      <w:sz w:val="28"/>
    </w:rPr>
  </w:style>
  <w:style w:type="numbering" w:styleId="WW8Num46">
    <w:name w:val="WW8Num4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1201</TotalTime>
  <Application>LibreOffice/7.0.6.2$Windows_X86_64 LibreOffice_project/144abb84a525d8e30c9dbbefa69cbbf2d8d4ae3b</Application>
  <AppVersion>15.0000</AppVersion>
  <Pages>3</Pages>
  <Words>579</Words>
  <Characters>3986</Characters>
  <CharactersWithSpaces>4625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2023-06-01T06:54:21Z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